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2" w:rsidRPr="001272AA" w:rsidRDefault="001272AA" w:rsidP="00E71E12">
      <w:pPr>
        <w:spacing w:line="240" w:lineRule="auto"/>
        <w:contextualSpacing/>
        <w:jc w:val="center"/>
        <w:rPr>
          <w:b/>
        </w:rPr>
      </w:pPr>
      <w:r w:rsidRPr="001272AA">
        <w:rPr>
          <w:b/>
        </w:rPr>
        <w:t>Executive Committee Meeting Minutes</w:t>
      </w:r>
    </w:p>
    <w:p w:rsidR="00E71E12" w:rsidRDefault="00C0510B" w:rsidP="00E71E12">
      <w:pPr>
        <w:spacing w:line="240" w:lineRule="auto"/>
        <w:contextualSpacing/>
        <w:jc w:val="center"/>
      </w:pPr>
      <w:r>
        <w:rPr>
          <w:b/>
        </w:rPr>
        <w:t>Octo</w:t>
      </w:r>
      <w:r w:rsidR="00E71E12" w:rsidRPr="00A7617D">
        <w:rPr>
          <w:b/>
        </w:rPr>
        <w:t xml:space="preserve">ber </w:t>
      </w:r>
      <w:r>
        <w:rPr>
          <w:b/>
        </w:rPr>
        <w:t>2</w:t>
      </w:r>
      <w:r w:rsidR="00E71E12" w:rsidRPr="00A7617D">
        <w:rPr>
          <w:b/>
        </w:rPr>
        <w:t>, 2015</w:t>
      </w:r>
    </w:p>
    <w:p w:rsidR="00ED3AE7" w:rsidRDefault="00ED3AE7" w:rsidP="00ED3AE7">
      <w:pPr>
        <w:spacing w:line="240" w:lineRule="auto"/>
        <w:contextualSpacing/>
        <w:jc w:val="center"/>
      </w:pPr>
    </w:p>
    <w:p w:rsidR="00E71E12" w:rsidRDefault="00E71E12" w:rsidP="00E71E12">
      <w:pPr>
        <w:spacing w:line="240" w:lineRule="auto"/>
        <w:contextualSpacing/>
      </w:pPr>
    </w:p>
    <w:p w:rsidR="001272AA" w:rsidRDefault="001272AA" w:rsidP="001272AA">
      <w:pPr>
        <w:spacing w:line="240" w:lineRule="auto"/>
        <w:ind w:left="1440" w:hanging="1440"/>
        <w:contextualSpacing/>
      </w:pPr>
      <w:r>
        <w:t xml:space="preserve">Present:  </w:t>
      </w:r>
      <w:r>
        <w:tab/>
        <w:t xml:space="preserve">Keith Holbert (Interim Chair and Secretary), Esma Gel, David Allee, Marcus Herrmann, Shawn Jordan, Nadia Kellam, </w:t>
      </w:r>
      <w:proofErr w:type="spellStart"/>
      <w:r>
        <w:t>Kenn</w:t>
      </w:r>
      <w:proofErr w:type="spellEnd"/>
      <w:r>
        <w:t xml:space="preserve"> Sullivan, Narayanan Neithalath, Cun-Zheng Ning</w:t>
      </w:r>
    </w:p>
    <w:p w:rsidR="001272AA" w:rsidRDefault="001272AA" w:rsidP="001272AA">
      <w:pPr>
        <w:spacing w:line="240" w:lineRule="auto"/>
        <w:contextualSpacing/>
      </w:pPr>
      <w:r>
        <w:t xml:space="preserve">Absent:  </w:t>
      </w:r>
      <w:r>
        <w:tab/>
        <w:t xml:space="preserve">Greg Raupp, Xiao Wang, </w:t>
      </w:r>
      <w:proofErr w:type="spellStart"/>
      <w:r>
        <w:t>Arun</w:t>
      </w:r>
      <w:proofErr w:type="spellEnd"/>
      <w:r>
        <w:t xml:space="preserve"> Sen, Brent Vernon</w:t>
      </w:r>
    </w:p>
    <w:p w:rsidR="007039F9" w:rsidRDefault="007039F9" w:rsidP="007039F9">
      <w:pPr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2430"/>
        <w:gridCol w:w="2430"/>
      </w:tblGrid>
      <w:tr w:rsidR="003744F1" w:rsidRPr="00C96A9A" w:rsidTr="00107F76">
        <w:tc>
          <w:tcPr>
            <w:tcW w:w="1080" w:type="dxa"/>
            <w:tcBorders>
              <w:bottom w:val="single" w:sz="12" w:space="0" w:color="auto"/>
            </w:tcBorders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School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 xml:space="preserve">Term </w:t>
            </w:r>
            <w:r>
              <w:rPr>
                <w:color w:val="000000"/>
              </w:rPr>
              <w:t>Began</w:t>
            </w:r>
            <w:r w:rsidRPr="00C96A9A">
              <w:rPr>
                <w:color w:val="000000"/>
              </w:rPr>
              <w:t xml:space="preserve"> Oct. 2014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3744F1" w:rsidRPr="00C96A9A" w:rsidRDefault="003744F1" w:rsidP="00C9215B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 xml:space="preserve">Term </w:t>
            </w:r>
            <w:r>
              <w:rPr>
                <w:color w:val="000000"/>
              </w:rPr>
              <w:t>Began</w:t>
            </w:r>
            <w:r w:rsidRPr="00C96A9A">
              <w:rPr>
                <w:color w:val="000000"/>
              </w:rPr>
              <w:t xml:space="preserve"> Oct. 201</w:t>
            </w:r>
            <w:r>
              <w:rPr>
                <w:color w:val="000000"/>
              </w:rPr>
              <w:t>5</w:t>
            </w:r>
          </w:p>
        </w:tc>
      </w:tr>
      <w:tr w:rsidR="003744F1" w:rsidRPr="00C96A9A" w:rsidTr="00107F76">
        <w:tc>
          <w:tcPr>
            <w:tcW w:w="1080" w:type="dxa"/>
            <w:tcBorders>
              <w:top w:val="single" w:sz="12" w:space="0" w:color="auto"/>
            </w:tcBorders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SBHSE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3744F1" w:rsidRPr="003122A5" w:rsidRDefault="003744F1" w:rsidP="007039F9">
            <w:pPr>
              <w:spacing w:line="240" w:lineRule="auto"/>
              <w:rPr>
                <w:color w:val="000000"/>
              </w:rPr>
            </w:pPr>
            <w:r w:rsidRPr="003122A5">
              <w:rPr>
                <w:color w:val="000000"/>
              </w:rPr>
              <w:t>Xiao Wang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3744F1" w:rsidRPr="003122A5" w:rsidRDefault="003744F1" w:rsidP="007039F9">
            <w:pPr>
              <w:spacing w:line="240" w:lineRule="auto"/>
              <w:rPr>
                <w:color w:val="000000"/>
              </w:rPr>
            </w:pPr>
            <w:r w:rsidRPr="00AB4688">
              <w:rPr>
                <w:color w:val="000000"/>
              </w:rPr>
              <w:t>Brent Vernon</w:t>
            </w:r>
          </w:p>
        </w:tc>
      </w:tr>
      <w:tr w:rsidR="003744F1" w:rsidRPr="00C96A9A" w:rsidTr="00107F76">
        <w:tc>
          <w:tcPr>
            <w:tcW w:w="1080" w:type="dxa"/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SCIDSE</w:t>
            </w:r>
          </w:p>
        </w:tc>
        <w:tc>
          <w:tcPr>
            <w:tcW w:w="2430" w:type="dxa"/>
          </w:tcPr>
          <w:p w:rsidR="003744F1" w:rsidRPr="00653B12" w:rsidRDefault="003744F1" w:rsidP="007039F9">
            <w:pPr>
              <w:spacing w:line="240" w:lineRule="auto"/>
              <w:rPr>
                <w:color w:val="000000"/>
              </w:rPr>
            </w:pPr>
            <w:r w:rsidRPr="00653B12">
              <w:rPr>
                <w:color w:val="000000"/>
              </w:rPr>
              <w:t>Esma Gel</w:t>
            </w:r>
          </w:p>
        </w:tc>
        <w:tc>
          <w:tcPr>
            <w:tcW w:w="2430" w:type="dxa"/>
          </w:tcPr>
          <w:p w:rsidR="003744F1" w:rsidRPr="00653B12" w:rsidRDefault="003744F1" w:rsidP="00414B4B">
            <w:pPr>
              <w:spacing w:line="240" w:lineRule="auto"/>
              <w:rPr>
                <w:color w:val="000000"/>
              </w:rPr>
            </w:pPr>
            <w:r w:rsidRPr="00676B81">
              <w:rPr>
                <w:color w:val="000000"/>
              </w:rPr>
              <w:t>Arunabha Sen</w:t>
            </w:r>
          </w:p>
        </w:tc>
      </w:tr>
      <w:tr w:rsidR="003744F1" w:rsidRPr="00C96A9A" w:rsidTr="00107F76">
        <w:tc>
          <w:tcPr>
            <w:tcW w:w="1080" w:type="dxa"/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SECEE</w:t>
            </w:r>
          </w:p>
        </w:tc>
        <w:tc>
          <w:tcPr>
            <w:tcW w:w="2430" w:type="dxa"/>
          </w:tcPr>
          <w:p w:rsidR="003744F1" w:rsidRPr="009A60FD" w:rsidRDefault="003744F1" w:rsidP="007039F9">
            <w:pPr>
              <w:spacing w:line="240" w:lineRule="auto"/>
              <w:rPr>
                <w:color w:val="000000"/>
              </w:rPr>
            </w:pPr>
            <w:r w:rsidRPr="009A60FD">
              <w:rPr>
                <w:color w:val="000000"/>
              </w:rPr>
              <w:t>David Allee</w:t>
            </w:r>
          </w:p>
        </w:tc>
        <w:tc>
          <w:tcPr>
            <w:tcW w:w="2430" w:type="dxa"/>
          </w:tcPr>
          <w:p w:rsidR="003744F1" w:rsidRPr="009A60FD" w:rsidRDefault="003744F1" w:rsidP="007039F9">
            <w:pPr>
              <w:spacing w:line="240" w:lineRule="auto"/>
              <w:rPr>
                <w:color w:val="000000"/>
              </w:rPr>
            </w:pPr>
            <w:r w:rsidRPr="00C9215B">
              <w:rPr>
                <w:color w:val="000000"/>
              </w:rPr>
              <w:t>Cun-Zheng Ning</w:t>
            </w:r>
          </w:p>
        </w:tc>
      </w:tr>
      <w:tr w:rsidR="003744F1" w:rsidRPr="00C96A9A" w:rsidTr="00107F76">
        <w:tc>
          <w:tcPr>
            <w:tcW w:w="1080" w:type="dxa"/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SEMTE</w:t>
            </w:r>
          </w:p>
        </w:tc>
        <w:tc>
          <w:tcPr>
            <w:tcW w:w="2430" w:type="dxa"/>
          </w:tcPr>
          <w:p w:rsidR="003744F1" w:rsidRPr="009A08FE" w:rsidRDefault="001272AA" w:rsidP="007039F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Gregory Raupp</w:t>
            </w:r>
          </w:p>
        </w:tc>
        <w:tc>
          <w:tcPr>
            <w:tcW w:w="2430" w:type="dxa"/>
          </w:tcPr>
          <w:p w:rsidR="003744F1" w:rsidRPr="009A60FD" w:rsidRDefault="003744F1" w:rsidP="007039F9">
            <w:pPr>
              <w:spacing w:line="240" w:lineRule="auto"/>
              <w:rPr>
                <w:color w:val="000000"/>
              </w:rPr>
            </w:pPr>
            <w:r w:rsidRPr="00AB4688">
              <w:rPr>
                <w:color w:val="000000"/>
              </w:rPr>
              <w:t>Marcus Herrmann</w:t>
            </w:r>
          </w:p>
        </w:tc>
      </w:tr>
      <w:tr w:rsidR="003744F1" w:rsidRPr="00C96A9A" w:rsidTr="00107F76">
        <w:tc>
          <w:tcPr>
            <w:tcW w:w="1080" w:type="dxa"/>
          </w:tcPr>
          <w:p w:rsidR="003744F1" w:rsidRPr="00C96A9A" w:rsidRDefault="003744F1" w:rsidP="007039F9">
            <w:pPr>
              <w:spacing w:line="240" w:lineRule="auto"/>
              <w:rPr>
                <w:color w:val="000000"/>
              </w:rPr>
            </w:pPr>
            <w:r w:rsidRPr="00C96A9A">
              <w:rPr>
                <w:color w:val="000000"/>
              </w:rPr>
              <w:t>SSEBE</w:t>
            </w:r>
          </w:p>
        </w:tc>
        <w:tc>
          <w:tcPr>
            <w:tcW w:w="2430" w:type="dxa"/>
          </w:tcPr>
          <w:p w:rsidR="003744F1" w:rsidRPr="009A60FD" w:rsidRDefault="003744F1" w:rsidP="007039F9">
            <w:pPr>
              <w:spacing w:line="240" w:lineRule="auto"/>
              <w:rPr>
                <w:color w:val="000000"/>
                <w:highlight w:val="yellow"/>
              </w:rPr>
            </w:pPr>
            <w:r w:rsidRPr="009A60FD">
              <w:rPr>
                <w:color w:val="000000"/>
              </w:rPr>
              <w:t>Narayanan Neithal</w:t>
            </w:r>
            <w:r>
              <w:rPr>
                <w:color w:val="000000"/>
              </w:rPr>
              <w:t>ath</w:t>
            </w:r>
          </w:p>
        </w:tc>
        <w:tc>
          <w:tcPr>
            <w:tcW w:w="2430" w:type="dxa"/>
          </w:tcPr>
          <w:p w:rsidR="003744F1" w:rsidRPr="009A60FD" w:rsidRDefault="003744F1" w:rsidP="007039F9">
            <w:pPr>
              <w:spacing w:line="240" w:lineRule="auto"/>
              <w:rPr>
                <w:color w:val="000000"/>
              </w:rPr>
            </w:pPr>
            <w:r>
              <w:t>Kenn</w:t>
            </w:r>
            <w:r w:rsidR="00414B4B">
              <w:t>eth</w:t>
            </w:r>
            <w:r>
              <w:t xml:space="preserve"> Sullivan</w:t>
            </w:r>
          </w:p>
        </w:tc>
      </w:tr>
      <w:tr w:rsidR="003744F1" w:rsidRPr="00C96A9A" w:rsidTr="00107F76">
        <w:tc>
          <w:tcPr>
            <w:tcW w:w="1080" w:type="dxa"/>
          </w:tcPr>
          <w:p w:rsidR="003744F1" w:rsidRPr="00C96A9A" w:rsidRDefault="003744F1" w:rsidP="00362027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Poly</w:t>
            </w:r>
          </w:p>
        </w:tc>
        <w:tc>
          <w:tcPr>
            <w:tcW w:w="2430" w:type="dxa"/>
          </w:tcPr>
          <w:p w:rsidR="003744F1" w:rsidRPr="00C575FD" w:rsidRDefault="003744F1" w:rsidP="007039F9">
            <w:pPr>
              <w:spacing w:line="240" w:lineRule="auto"/>
              <w:rPr>
                <w:color w:val="000000"/>
              </w:rPr>
            </w:pPr>
            <w:r w:rsidRPr="00C575FD">
              <w:rPr>
                <w:color w:val="000000"/>
              </w:rPr>
              <w:t>Shawn Jordan</w:t>
            </w:r>
          </w:p>
        </w:tc>
        <w:tc>
          <w:tcPr>
            <w:tcW w:w="2430" w:type="dxa"/>
          </w:tcPr>
          <w:p w:rsidR="003744F1" w:rsidRPr="00C575FD" w:rsidRDefault="003744F1" w:rsidP="007039F9">
            <w:pPr>
              <w:spacing w:line="240" w:lineRule="auto"/>
              <w:rPr>
                <w:color w:val="000000"/>
              </w:rPr>
            </w:pPr>
            <w:r w:rsidRPr="00676B81">
              <w:rPr>
                <w:color w:val="000000"/>
              </w:rPr>
              <w:t>Nadia Kellam</w:t>
            </w:r>
          </w:p>
        </w:tc>
      </w:tr>
    </w:tbl>
    <w:p w:rsidR="007039F9" w:rsidRDefault="007039F9" w:rsidP="007039F9">
      <w:pPr>
        <w:ind w:firstLine="720"/>
        <w:rPr>
          <w:color w:val="000000"/>
        </w:rPr>
      </w:pPr>
      <w:r w:rsidRPr="00C96A9A">
        <w:rPr>
          <w:color w:val="000000"/>
        </w:rPr>
        <w:t>The Secretary’s term expires Oct. 2015.</w:t>
      </w:r>
    </w:p>
    <w:p w:rsidR="0037732A" w:rsidRDefault="0037732A" w:rsidP="007039F9">
      <w:pPr>
        <w:ind w:firstLine="720"/>
        <w:rPr>
          <w:color w:val="000000"/>
        </w:rPr>
      </w:pPr>
    </w:p>
    <w:p w:rsidR="001272AA" w:rsidRDefault="001272AA" w:rsidP="007039F9">
      <w:pPr>
        <w:ind w:firstLine="720"/>
        <w:rPr>
          <w:color w:val="000000"/>
        </w:rPr>
      </w:pPr>
    </w:p>
    <w:p w:rsidR="00FC29BF" w:rsidRDefault="00FC29BF" w:rsidP="00FC29BF">
      <w:pPr>
        <w:spacing w:line="240" w:lineRule="auto"/>
        <w:contextualSpacing/>
      </w:pPr>
    </w:p>
    <w:p w:rsidR="00FC29BF" w:rsidRPr="0064177C" w:rsidRDefault="00FC29BF" w:rsidP="00FC29BF">
      <w:pPr>
        <w:numPr>
          <w:ilvl w:val="0"/>
          <w:numId w:val="8"/>
        </w:numPr>
        <w:spacing w:line="240" w:lineRule="auto"/>
        <w:contextualSpacing/>
        <w:rPr>
          <w:rFonts w:ascii="Calibri" w:eastAsia="Calibri" w:hAnsi="Calibri" w:cs="Times New Roman"/>
          <w:color w:val="000000"/>
          <w:sz w:val="24"/>
          <w:szCs w:val="24"/>
        </w:rPr>
      </w:pPr>
      <w:proofErr w:type="gramStart"/>
      <w:r w:rsidRPr="0064177C"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  <w:t>Approval of the minutes of our last meeting</w:t>
      </w:r>
      <w:r w:rsidRPr="0064177C">
        <w:rPr>
          <w:rFonts w:ascii="Calibri" w:eastAsia="Calibri" w:hAnsi="Calibri" w:cs="Times New Roman"/>
          <w:color w:val="000000"/>
          <w:sz w:val="24"/>
          <w:szCs w:val="24"/>
        </w:rPr>
        <w:t>.</w:t>
      </w:r>
      <w:proofErr w:type="gramEnd"/>
      <w:r w:rsidRPr="0064177C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</w:p>
    <w:p w:rsidR="00FC29BF" w:rsidRDefault="00FC29BF" w:rsidP="00FC29BF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64177C">
        <w:rPr>
          <w:rFonts w:ascii="Calibri" w:eastAsia="Calibri" w:hAnsi="Calibri" w:cs="Times New Roman"/>
          <w:sz w:val="24"/>
          <w:szCs w:val="24"/>
        </w:rPr>
        <w:t xml:space="preserve">Minutes from </w:t>
      </w:r>
      <w:r>
        <w:rPr>
          <w:rFonts w:ascii="Calibri" w:eastAsia="Calibri" w:hAnsi="Calibri" w:cs="Times New Roman"/>
          <w:sz w:val="24"/>
          <w:szCs w:val="24"/>
        </w:rPr>
        <w:t xml:space="preserve">September 4, 2015 </w:t>
      </w:r>
      <w:proofErr w:type="gramStart"/>
      <w:r w:rsidRPr="0064177C">
        <w:rPr>
          <w:rFonts w:ascii="Calibri" w:eastAsia="Calibri" w:hAnsi="Calibri" w:cs="Times New Roman"/>
          <w:sz w:val="24"/>
          <w:szCs w:val="24"/>
        </w:rPr>
        <w:t>were approved</w:t>
      </w:r>
      <w:proofErr w:type="gramEnd"/>
      <w:r w:rsidRPr="0064177C">
        <w:rPr>
          <w:rFonts w:ascii="Calibri" w:eastAsia="Calibri" w:hAnsi="Calibri" w:cs="Times New Roman"/>
          <w:sz w:val="24"/>
          <w:szCs w:val="24"/>
        </w:rPr>
        <w:t xml:space="preserve"> unanimously.</w:t>
      </w:r>
    </w:p>
    <w:p w:rsidR="00FC29BF" w:rsidRDefault="00FC29BF" w:rsidP="00FC29BF">
      <w:pPr>
        <w:spacing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C29BF" w:rsidRDefault="00FC29BF" w:rsidP="00FC29BF">
      <w:pPr>
        <w:pStyle w:val="ListParagraph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917CD3">
        <w:rPr>
          <w:rFonts w:ascii="Calibri" w:eastAsia="Calibri" w:hAnsi="Calibri" w:cs="Times New Roman"/>
          <w:b/>
          <w:sz w:val="24"/>
          <w:szCs w:val="24"/>
          <w:u w:val="single"/>
        </w:rPr>
        <w:t>Election of a new committee chair</w:t>
      </w:r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It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was suggested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that only senior EC committee members and/or full professors be considered for the new Chair.  The EC discussed two candidates for committee Chair:  Esma Gel and David Allee.  The committee voted and Esma Gel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was elected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to the position. </w:t>
      </w:r>
    </w:p>
    <w:p w:rsidR="00FC29BF" w:rsidRDefault="00FC29BF" w:rsidP="00FC29BF">
      <w:pPr>
        <w:pStyle w:val="ListParagraph"/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C29BF" w:rsidRDefault="00FC29BF" w:rsidP="00FC29BF">
      <w:pPr>
        <w:pStyle w:val="ListParagraph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917CD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New Chair’s Creation of a Nominating Committee for Secretary Election by Entire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Academic Assembly</w:t>
      </w:r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From the Bylaws: </w:t>
      </w:r>
    </w:p>
    <w:p w:rsidR="00FC29BF" w:rsidRPr="00C32627" w:rsidRDefault="00FC29BF" w:rsidP="00FC29BF">
      <w:pPr>
        <w:pStyle w:val="ListParagraph"/>
        <w:rPr>
          <w:rFonts w:ascii="Calibri" w:eastAsia="Calibri" w:hAnsi="Calibri" w:cs="Times New Roman"/>
          <w:sz w:val="24"/>
          <w:szCs w:val="24"/>
        </w:rPr>
      </w:pPr>
    </w:p>
    <w:p w:rsidR="00FC29BF" w:rsidRDefault="00FC29BF" w:rsidP="00FC29BF">
      <w:pPr>
        <w:pStyle w:val="ListParagraph"/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C32627">
        <w:rPr>
          <w:rFonts w:ascii="Calibri" w:eastAsia="Calibri" w:hAnsi="Calibri" w:cs="Times New Roman"/>
          <w:i/>
          <w:sz w:val="24"/>
          <w:szCs w:val="24"/>
        </w:rPr>
        <w:t xml:space="preserve">The Executive Committee shall appoint a nominating committee for the position of Secretary of the AFSE.  The nominating committee proposes candidates and runs the election via email ballot.  No member of the Executive Committee may be a member of the nominating committee.  </w:t>
      </w:r>
    </w:p>
    <w:p w:rsidR="00FC29BF" w:rsidRPr="00C32627" w:rsidRDefault="00FC29BF" w:rsidP="00FC29BF">
      <w:pPr>
        <w:pStyle w:val="ListParagraph"/>
        <w:spacing w:line="240" w:lineRule="auto"/>
        <w:ind w:left="2160"/>
        <w:rPr>
          <w:rFonts w:ascii="Calibri" w:eastAsia="Calibri" w:hAnsi="Calibri" w:cs="Times New Roman"/>
          <w:i/>
          <w:sz w:val="24"/>
          <w:szCs w:val="24"/>
        </w:rPr>
      </w:pPr>
    </w:p>
    <w:p w:rsidR="00FC29BF" w:rsidRDefault="00FC29BF" w:rsidP="00FC29BF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It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was suggested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that former members of the EC be recruited for the nominating committee.  Current committee members will check with their former committee member counterparts to see if they</w:t>
      </w:r>
      <w:r w:rsidR="00135D93">
        <w:rPr>
          <w:rFonts w:ascii="Calibri" w:eastAsia="Calibri" w:hAnsi="Calibri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re able to participate and report back to the Secretary.</w:t>
      </w:r>
    </w:p>
    <w:p w:rsidR="003B2CB8" w:rsidRDefault="003B2CB8" w:rsidP="00FC29BF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3B2CB8" w:rsidRDefault="003B2CB8" w:rsidP="00FC29BF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  <w:r w:rsidRPr="003B2CB8">
        <w:rPr>
          <w:rFonts w:ascii="Calibri" w:eastAsia="Calibri" w:hAnsi="Calibri" w:cs="Times New Roman"/>
          <w:i/>
          <w:sz w:val="24"/>
          <w:szCs w:val="24"/>
        </w:rPr>
        <w:t>Post Meeting</w:t>
      </w:r>
      <w:r>
        <w:rPr>
          <w:rFonts w:ascii="Calibri" w:eastAsia="Calibri" w:hAnsi="Calibri" w:cs="Times New Roman"/>
          <w:sz w:val="24"/>
          <w:szCs w:val="24"/>
        </w:rPr>
        <w:t>:  Huan Liu and Hanqing Jiang agreed to serve.</w:t>
      </w:r>
    </w:p>
    <w:p w:rsidR="00FC29BF" w:rsidRDefault="00FC29BF" w:rsidP="00FC29BF">
      <w:pPr>
        <w:spacing w:line="240" w:lineRule="auto"/>
        <w:ind w:left="720"/>
        <w:rPr>
          <w:rFonts w:ascii="Calibri" w:eastAsia="Calibri" w:hAnsi="Calibri" w:cs="Times New Roman"/>
          <w:sz w:val="24"/>
          <w:szCs w:val="24"/>
        </w:rPr>
      </w:pPr>
    </w:p>
    <w:p w:rsidR="00FC29BF" w:rsidRDefault="00FC29BF" w:rsidP="00FC29BF">
      <w:pPr>
        <w:pStyle w:val="ListParagraph"/>
        <w:numPr>
          <w:ilvl w:val="0"/>
          <w:numId w:val="8"/>
        </w:numPr>
        <w:spacing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C32627">
        <w:rPr>
          <w:rFonts w:ascii="Calibri" w:eastAsia="Calibri" w:hAnsi="Calibri" w:cs="Times New Roman"/>
          <w:b/>
          <w:sz w:val="24"/>
          <w:szCs w:val="24"/>
        </w:rPr>
        <w:t>Engineering Lecturer Promotion</w:t>
      </w:r>
      <w:r>
        <w:rPr>
          <w:rFonts w:ascii="Calibri" w:eastAsia="Calibri" w:hAnsi="Calibri" w:cs="Times New Roman"/>
          <w:sz w:val="24"/>
          <w:szCs w:val="24"/>
        </w:rPr>
        <w:t>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The Committee reviewed the document and have submitted the following changes to the Interim Dean:</w:t>
      </w:r>
    </w:p>
    <w:p w:rsidR="00FC29BF" w:rsidRPr="00C32627" w:rsidRDefault="00FC29BF" w:rsidP="00FC29BF">
      <w:pPr>
        <w:pStyle w:val="ListParagraph"/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FC29BF" w:rsidRPr="00C32627" w:rsidRDefault="00FC29BF" w:rsidP="00FC29BF">
      <w:pPr>
        <w:pStyle w:val="ListParagraph"/>
        <w:numPr>
          <w:ilvl w:val="1"/>
          <w:numId w:val="8"/>
        </w:numPr>
        <w:spacing w:line="240" w:lineRule="auto"/>
      </w:pPr>
      <w:r w:rsidRPr="00C32627">
        <w:t>Under the Lecturer service activities list, change “various school level” to “various school, college and university level” to explicitly indicate that service at any of these levels is a worthy endeavor;</w:t>
      </w:r>
    </w:p>
    <w:p w:rsidR="00FC29BF" w:rsidRPr="00C32627" w:rsidRDefault="00FC29BF" w:rsidP="00FC29BF">
      <w:pPr>
        <w:pStyle w:val="ListParagraph"/>
        <w:numPr>
          <w:ilvl w:val="1"/>
          <w:numId w:val="8"/>
        </w:numPr>
        <w:spacing w:line="240" w:lineRule="auto"/>
      </w:pPr>
      <w:proofErr w:type="gramStart"/>
      <w:r w:rsidRPr="00C32627">
        <w:t>Under the Lecturer service activities list, rather than “student organization leader”, should it read “student organization advisor”?</w:t>
      </w:r>
      <w:proofErr w:type="gramEnd"/>
    </w:p>
    <w:p w:rsidR="00FC29BF" w:rsidRPr="00C32627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 w:rsidRPr="00C32627">
        <w:t>Under the Lecturer service activities list, a majority of the Ex Com felt that the FURI, EPICS and GCSP mentorships should be listed as a teaching rather than service activity;</w:t>
      </w:r>
    </w:p>
    <w:p w:rsidR="00FC29BF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 w:rsidRPr="00C32627">
        <w:t xml:space="preserve">Although research is not part of the Lecturer job description, perhaps </w:t>
      </w:r>
      <w:proofErr w:type="gramStart"/>
      <w:r w:rsidRPr="00C32627">
        <w:t>research, especially that related to scholarship of teaching and learning,</w:t>
      </w:r>
      <w:proofErr w:type="gramEnd"/>
      <w:r w:rsidRPr="00C32627">
        <w:t xml:space="preserve"> should be considered.  The Ex Com notes that both the FURI and GCSP are research related endeavors.  Perhaps this research activity </w:t>
      </w:r>
      <w:proofErr w:type="gramStart"/>
      <w:r w:rsidRPr="00C32627">
        <w:t>should be listed</w:t>
      </w:r>
      <w:proofErr w:type="gramEnd"/>
      <w:r w:rsidRPr="00C32627">
        <w:t xml:space="preserve"> under the “Other factors that are desired but not necessarily required for promotion”.  It </w:t>
      </w:r>
      <w:proofErr w:type="gramStart"/>
      <w:r w:rsidRPr="00C32627">
        <w:t>was noted</w:t>
      </w:r>
      <w:proofErr w:type="gramEnd"/>
      <w:r w:rsidRPr="00C32627">
        <w:t xml:space="preserve"> that quite a few lecturers have a PhD degree and some of them are quite active in research, publishing research findings on a regular basis.  Some are also acquiring external research funding.  These activities are not </w:t>
      </w:r>
      <w:proofErr w:type="gramStart"/>
      <w:r w:rsidRPr="00C32627">
        <w:t>absolutely essential</w:t>
      </w:r>
      <w:proofErr w:type="gramEnd"/>
      <w:r w:rsidRPr="00C32627">
        <w:t xml:space="preserve"> in their primary duty of effective teaching.  In some sense, these individuals are engaged in (positive) activities that go </w:t>
      </w:r>
      <w:proofErr w:type="gramStart"/>
      <w:r w:rsidRPr="00C32627">
        <w:t>above and beyond</w:t>
      </w:r>
      <w:proofErr w:type="gramEnd"/>
      <w:r w:rsidRPr="00C32627">
        <w:t xml:space="preserve"> the institutional expectation from them, and that such activity should be commended and taken into account while they are being considered for promotion.  A statement </w:t>
      </w:r>
      <w:proofErr w:type="gramStart"/>
      <w:r w:rsidRPr="00C32627">
        <w:t>might be incorporated</w:t>
      </w:r>
      <w:proofErr w:type="gramEnd"/>
      <w:r w:rsidRPr="00C32627">
        <w:t xml:space="preserve"> in the promotion criteria document to this effect.</w:t>
      </w:r>
    </w:p>
    <w:p w:rsidR="00FC29BF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>
        <w:t>How often are these documents reviewed for currency and updated?</w:t>
      </w:r>
    </w:p>
    <w:p w:rsidR="00FC29BF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>
        <w:t xml:space="preserve">Page numbers </w:t>
      </w:r>
      <w:proofErr w:type="gramStart"/>
      <w:r>
        <w:t>should be added</w:t>
      </w:r>
      <w:proofErr w:type="gramEnd"/>
      <w:r>
        <w:t xml:space="preserve"> to the pages.</w:t>
      </w:r>
    </w:p>
    <w:p w:rsidR="00FC29BF" w:rsidRDefault="00FC29BF" w:rsidP="00FC29BF">
      <w:pPr>
        <w:pStyle w:val="ListParagraph"/>
        <w:spacing w:line="240" w:lineRule="auto"/>
        <w:ind w:left="1440"/>
        <w:contextualSpacing w:val="0"/>
      </w:pPr>
    </w:p>
    <w:p w:rsidR="00FC29BF" w:rsidRPr="00B513F5" w:rsidRDefault="00FC29BF" w:rsidP="00FC29BF">
      <w:pPr>
        <w:pStyle w:val="ListParagraph"/>
        <w:numPr>
          <w:ilvl w:val="0"/>
          <w:numId w:val="8"/>
        </w:numPr>
        <w:spacing w:line="240" w:lineRule="auto"/>
        <w:contextualSpacing w:val="0"/>
      </w:pPr>
      <w:proofErr w:type="gramStart"/>
      <w:r w:rsidRPr="002C1F2D">
        <w:rPr>
          <w:b/>
        </w:rPr>
        <w:t>Engineering Research Faculty Promotion.</w:t>
      </w:r>
      <w:proofErr w:type="gramEnd"/>
      <w:r w:rsidRPr="002C1F2D">
        <w:rPr>
          <w:b/>
        </w:rPr>
        <w:t xml:space="preserve">  </w:t>
      </w:r>
      <w:r w:rsidRPr="002C1F2D">
        <w:rPr>
          <w:rFonts w:ascii="Calibri" w:eastAsia="Calibri" w:hAnsi="Calibri" w:cs="Times New Roman"/>
          <w:sz w:val="24"/>
          <w:szCs w:val="24"/>
        </w:rPr>
        <w:t>The Committee reviewed the document and have submitted the following changes to the Interim Dean:</w:t>
      </w:r>
    </w:p>
    <w:p w:rsidR="00FC29BF" w:rsidRPr="00B513F5" w:rsidRDefault="00FC29BF" w:rsidP="00FC29BF">
      <w:pPr>
        <w:pStyle w:val="ListParagraph"/>
        <w:spacing w:line="240" w:lineRule="auto"/>
        <w:contextualSpacing w:val="0"/>
        <w:rPr>
          <w:b/>
        </w:rPr>
      </w:pPr>
    </w:p>
    <w:p w:rsidR="00FC29BF" w:rsidRPr="00B513F5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 w:rsidRPr="00B513F5">
        <w:t>The definition and examples of positive interactions found on the last page of the Lecturer promotion criteria should be replicated at the end of section 3 of the Research Faculty promotion criteria;</w:t>
      </w:r>
    </w:p>
    <w:p w:rsidR="00FC29BF" w:rsidRPr="00B513F5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 w:rsidRPr="00B513F5">
        <w:t xml:space="preserve">Similar to the comment on Lecturers undertaking research, there </w:t>
      </w:r>
      <w:proofErr w:type="gramStart"/>
      <w:r w:rsidRPr="00B513F5">
        <w:t>are</w:t>
      </w:r>
      <w:proofErr w:type="gramEnd"/>
      <w:r w:rsidRPr="00B513F5">
        <w:t xml:space="preserve"> Research Faculty who are engaged in teaching.  Perhaps this </w:t>
      </w:r>
      <w:proofErr w:type="gramStart"/>
      <w:r w:rsidRPr="00B513F5">
        <w:t>should be taken</w:t>
      </w:r>
      <w:proofErr w:type="gramEnd"/>
      <w:r w:rsidRPr="00B513F5">
        <w:t xml:space="preserve"> into account when they are being considered for promotion.  </w:t>
      </w:r>
      <w:proofErr w:type="gramStart"/>
      <w:r w:rsidRPr="00B513F5">
        <w:t>Again, it is understandable that teaching may not be part of their job description; however, the Research Faculty criteria expects “participation in graduate student mentoring by serving on</w:t>
      </w:r>
      <w:r>
        <w:t>, and chairing as appropriate, </w:t>
      </w:r>
      <w:r w:rsidRPr="00B513F5">
        <w:t>thesis or dissertation committees” (there seems to be disagreement within the college in that some schools list graduate student mentorship as a teaching activity while other schools list it as a research activity in faculty evaluations).</w:t>
      </w:r>
      <w:proofErr w:type="gramEnd"/>
    </w:p>
    <w:p w:rsidR="00FC29BF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>
        <w:t>How often are these documents reviewed for currency and updated?</w:t>
      </w:r>
    </w:p>
    <w:p w:rsidR="00FC29BF" w:rsidRDefault="00FC29BF" w:rsidP="00FC29BF">
      <w:pPr>
        <w:pStyle w:val="ListParagraph"/>
        <w:numPr>
          <w:ilvl w:val="1"/>
          <w:numId w:val="8"/>
        </w:numPr>
        <w:spacing w:line="240" w:lineRule="auto"/>
        <w:contextualSpacing w:val="0"/>
      </w:pPr>
      <w:r>
        <w:t xml:space="preserve">Page numbers </w:t>
      </w:r>
      <w:proofErr w:type="gramStart"/>
      <w:r>
        <w:t>should be added</w:t>
      </w:r>
      <w:proofErr w:type="gramEnd"/>
      <w:r>
        <w:t xml:space="preserve"> to the pages.</w:t>
      </w:r>
    </w:p>
    <w:p w:rsidR="00FC29BF" w:rsidRDefault="00FC29BF" w:rsidP="00FC29BF">
      <w:pPr>
        <w:spacing w:line="240" w:lineRule="auto"/>
      </w:pPr>
    </w:p>
    <w:p w:rsidR="00FC29BF" w:rsidRPr="00083BA4" w:rsidRDefault="00FC29BF" w:rsidP="00FC29BF">
      <w:pPr>
        <w:spacing w:line="240" w:lineRule="auto"/>
        <w:jc w:val="center"/>
        <w:rPr>
          <w:b/>
        </w:rPr>
      </w:pPr>
      <w:r>
        <w:rPr>
          <w:b/>
        </w:rPr>
        <w:t>NEXT MEETING:  Friday, November 6, 2015; 12-1 p.m.; BY 660</w:t>
      </w:r>
    </w:p>
    <w:p w:rsidR="0037732A" w:rsidRPr="00C96A9A" w:rsidRDefault="0037732A" w:rsidP="007039F9">
      <w:pPr>
        <w:ind w:firstLine="720"/>
        <w:rPr>
          <w:color w:val="000000"/>
        </w:rPr>
      </w:pPr>
    </w:p>
    <w:sectPr w:rsidR="0037732A" w:rsidRPr="00C96A9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8C" w:rsidRDefault="002B418C" w:rsidP="007039F9">
      <w:pPr>
        <w:spacing w:line="240" w:lineRule="auto"/>
      </w:pPr>
      <w:r>
        <w:separator/>
      </w:r>
    </w:p>
  </w:endnote>
  <w:endnote w:type="continuationSeparator" w:id="0">
    <w:p w:rsidR="002B418C" w:rsidRDefault="002B418C" w:rsidP="00703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F3" w:rsidRDefault="00655BF3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35D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8C" w:rsidRDefault="002B418C" w:rsidP="007039F9">
      <w:pPr>
        <w:spacing w:line="240" w:lineRule="auto"/>
      </w:pPr>
      <w:r>
        <w:separator/>
      </w:r>
    </w:p>
  </w:footnote>
  <w:footnote w:type="continuationSeparator" w:id="0">
    <w:p w:rsidR="002B418C" w:rsidRDefault="002B418C" w:rsidP="00703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20"/>
    <w:multiLevelType w:val="hybridMultilevel"/>
    <w:tmpl w:val="8102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C213F"/>
    <w:multiLevelType w:val="hybridMultilevel"/>
    <w:tmpl w:val="4724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F3E00"/>
    <w:multiLevelType w:val="hybridMultilevel"/>
    <w:tmpl w:val="6926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546756"/>
    <w:multiLevelType w:val="hybridMultilevel"/>
    <w:tmpl w:val="45AC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4540C"/>
    <w:multiLevelType w:val="hybridMultilevel"/>
    <w:tmpl w:val="24BA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20DB4"/>
    <w:multiLevelType w:val="hybridMultilevel"/>
    <w:tmpl w:val="AA365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04526"/>
    <w:multiLevelType w:val="hybridMultilevel"/>
    <w:tmpl w:val="EF6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24835"/>
    <w:multiLevelType w:val="hybridMultilevel"/>
    <w:tmpl w:val="66F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7"/>
    <w:rsid w:val="000239E3"/>
    <w:rsid w:val="000842E2"/>
    <w:rsid w:val="00095292"/>
    <w:rsid w:val="000A4C8B"/>
    <w:rsid w:val="000C68D0"/>
    <w:rsid w:val="000F4EAC"/>
    <w:rsid w:val="001272AA"/>
    <w:rsid w:val="00131514"/>
    <w:rsid w:val="00135D93"/>
    <w:rsid w:val="00143ADE"/>
    <w:rsid w:val="00156760"/>
    <w:rsid w:val="00157197"/>
    <w:rsid w:val="00190253"/>
    <w:rsid w:val="001A460D"/>
    <w:rsid w:val="001A632B"/>
    <w:rsid w:val="00200452"/>
    <w:rsid w:val="00202F79"/>
    <w:rsid w:val="002156D2"/>
    <w:rsid w:val="00282369"/>
    <w:rsid w:val="002B0287"/>
    <w:rsid w:val="002B418C"/>
    <w:rsid w:val="002E56B1"/>
    <w:rsid w:val="00342114"/>
    <w:rsid w:val="00362027"/>
    <w:rsid w:val="003744F1"/>
    <w:rsid w:val="0037732A"/>
    <w:rsid w:val="003B2CB8"/>
    <w:rsid w:val="00414B4B"/>
    <w:rsid w:val="00443C29"/>
    <w:rsid w:val="0048520B"/>
    <w:rsid w:val="004A0DB3"/>
    <w:rsid w:val="004A20B7"/>
    <w:rsid w:val="004F5637"/>
    <w:rsid w:val="00514AB4"/>
    <w:rsid w:val="005A38F8"/>
    <w:rsid w:val="005D0477"/>
    <w:rsid w:val="00655BF3"/>
    <w:rsid w:val="00676B81"/>
    <w:rsid w:val="006E0131"/>
    <w:rsid w:val="007039F9"/>
    <w:rsid w:val="00747289"/>
    <w:rsid w:val="00747566"/>
    <w:rsid w:val="007B41BC"/>
    <w:rsid w:val="007D00C9"/>
    <w:rsid w:val="00842213"/>
    <w:rsid w:val="008838FF"/>
    <w:rsid w:val="008B4C0C"/>
    <w:rsid w:val="008B68B3"/>
    <w:rsid w:val="008E4229"/>
    <w:rsid w:val="00947078"/>
    <w:rsid w:val="0096680D"/>
    <w:rsid w:val="0098219E"/>
    <w:rsid w:val="009832F5"/>
    <w:rsid w:val="009A08FE"/>
    <w:rsid w:val="009B32B0"/>
    <w:rsid w:val="009C3344"/>
    <w:rsid w:val="00A27E17"/>
    <w:rsid w:val="00A30C3D"/>
    <w:rsid w:val="00A85B76"/>
    <w:rsid w:val="00A97511"/>
    <w:rsid w:val="00AA6293"/>
    <w:rsid w:val="00AB4688"/>
    <w:rsid w:val="00AD17F6"/>
    <w:rsid w:val="00BA2F67"/>
    <w:rsid w:val="00BB6BD9"/>
    <w:rsid w:val="00BC0924"/>
    <w:rsid w:val="00C0510B"/>
    <w:rsid w:val="00C05E18"/>
    <w:rsid w:val="00C06965"/>
    <w:rsid w:val="00C23347"/>
    <w:rsid w:val="00C9215B"/>
    <w:rsid w:val="00CC5DBE"/>
    <w:rsid w:val="00D322F6"/>
    <w:rsid w:val="00D517F7"/>
    <w:rsid w:val="00D57074"/>
    <w:rsid w:val="00D70A42"/>
    <w:rsid w:val="00D90BC5"/>
    <w:rsid w:val="00D93B8F"/>
    <w:rsid w:val="00D9645E"/>
    <w:rsid w:val="00E71E12"/>
    <w:rsid w:val="00E861E0"/>
    <w:rsid w:val="00E91E77"/>
    <w:rsid w:val="00EB08BA"/>
    <w:rsid w:val="00ED3AE7"/>
    <w:rsid w:val="00EF1767"/>
    <w:rsid w:val="00F3112F"/>
    <w:rsid w:val="00F45A9D"/>
    <w:rsid w:val="00F72038"/>
    <w:rsid w:val="00FB2318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E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039F9"/>
    <w:pPr>
      <w:spacing w:line="240" w:lineRule="auto"/>
    </w:pPr>
    <w:rPr>
      <w:rFonts w:ascii="Calibri" w:eastAsia="Times New Roman" w:hAnsi="Calibri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7039F9"/>
    <w:rPr>
      <w:rFonts w:ascii="Calibri" w:eastAsia="Times New Roman" w:hAnsi="Calibri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7039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F3"/>
  </w:style>
  <w:style w:type="paragraph" w:styleId="Footer">
    <w:name w:val="footer"/>
    <w:basedOn w:val="Normal"/>
    <w:link w:val="FooterChar"/>
    <w:uiPriority w:val="99"/>
    <w:unhideWhenUsed/>
    <w:rsid w:val="00655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E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039F9"/>
    <w:pPr>
      <w:spacing w:line="240" w:lineRule="auto"/>
    </w:pPr>
    <w:rPr>
      <w:rFonts w:ascii="Calibri" w:eastAsia="Times New Roman" w:hAnsi="Calibri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7039F9"/>
    <w:rPr>
      <w:rFonts w:ascii="Calibri" w:eastAsia="Times New Roman" w:hAnsi="Calibri" w:cs="Times New Roman"/>
      <w:sz w:val="20"/>
      <w:szCs w:val="20"/>
      <w:lang w:eastAsia="ko-KR"/>
    </w:rPr>
  </w:style>
  <w:style w:type="character" w:styleId="FootnoteReference">
    <w:name w:val="footnote reference"/>
    <w:semiHidden/>
    <w:rsid w:val="007039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5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F3"/>
  </w:style>
  <w:style w:type="paragraph" w:styleId="Footer">
    <w:name w:val="footer"/>
    <w:basedOn w:val="Normal"/>
    <w:link w:val="FooterChar"/>
    <w:uiPriority w:val="99"/>
    <w:unhideWhenUsed/>
    <w:rsid w:val="00655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B3CB-C464-4AB1-8CB3-27F7FADF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Bowers</dc:creator>
  <cp:lastModifiedBy>Keith Holbert</cp:lastModifiedBy>
  <cp:revision>26</cp:revision>
  <dcterms:created xsi:type="dcterms:W3CDTF">2015-09-30T18:24:00Z</dcterms:created>
  <dcterms:modified xsi:type="dcterms:W3CDTF">2015-10-08T20:27:00Z</dcterms:modified>
</cp:coreProperties>
</file>